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О</w:t>
      </w:r>
      <w:r>
        <w:rPr>
          <w:b/>
          <w:color w:val="000000"/>
          <w:sz w:val="32"/>
          <w:szCs w:val="32"/>
        </w:rPr>
        <w:t xml:space="preserve">рієнтовний перелік питань на державний іспит </w:t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bookmarkStart w:id="0" w:name="_GoBack1"/>
      <w:bookmarkStart w:id="1" w:name="_GoBack"/>
      <w:bookmarkEnd w:id="0"/>
      <w:bookmarkEnd w:id="1"/>
      <w:r>
        <w:rPr>
          <w:b/>
          <w:bCs/>
          <w:color w:val="000000"/>
          <w:sz w:val="32"/>
          <w:szCs w:val="32"/>
          <w:lang w:val="uk-UA"/>
        </w:rPr>
        <w:t>з історії української літератури</w:t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3640" w:leader="none"/>
        </w:tabs>
        <w:spacing w:before="245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галузь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знань</w:t>
        <w:tab/>
      </w:r>
      <w:r>
        <w:rPr>
          <w:rFonts w:cs="Times New Roman"/>
          <w:sz w:val="28"/>
          <w:szCs w:val="28"/>
          <w:u w:val="single"/>
        </w:rPr>
        <w:t>03</w:t>
      </w:r>
      <w:r>
        <w:rPr>
          <w:rFonts w:cs="Times New Roman"/>
          <w:spacing w:val="-3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Гуманітарні</w:t>
      </w:r>
      <w:r>
        <w:rPr>
          <w:rFonts w:cs="Times New Roman"/>
          <w:spacing w:val="-3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науки</w:t>
      </w:r>
    </w:p>
    <w:p>
      <w:pPr>
        <w:pStyle w:val="Normal"/>
        <w:spacing w:before="0" w:after="0"/>
        <w:ind w:left="3629" w:right="0" w:hanging="0"/>
        <w:jc w:val="left"/>
        <w:rPr/>
      </w:pPr>
      <w:r>
        <w:rPr>
          <w:rFonts w:cs="Times New Roman"/>
          <w:sz w:val="28"/>
          <w:szCs w:val="28"/>
        </w:rPr>
        <w:t>(шифр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і назва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напряму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підготовки)</w:t>
      </w:r>
    </w:p>
    <w:p>
      <w:pPr>
        <w:pStyle w:val="Normal"/>
        <w:tabs>
          <w:tab w:val="clear" w:pos="708"/>
          <w:tab w:val="left" w:pos="3640" w:leader="none"/>
        </w:tabs>
        <w:spacing w:before="0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спеціальність</w:t>
        <w:tab/>
      </w:r>
      <w:r>
        <w:rPr>
          <w:rFonts w:cs="Times New Roman"/>
          <w:sz w:val="28"/>
          <w:szCs w:val="28"/>
          <w:u w:val="single"/>
        </w:rPr>
        <w:t>035 Філологія</w:t>
      </w:r>
    </w:p>
    <w:p>
      <w:pPr>
        <w:pStyle w:val="Normal"/>
        <w:spacing w:before="0" w:after="0"/>
        <w:ind w:left="3629" w:right="0" w:hanging="0"/>
        <w:jc w:val="left"/>
        <w:rPr/>
      </w:pPr>
      <w:r>
        <w:rPr>
          <w:rFonts w:cs="Times New Roman"/>
          <w:sz w:val="28"/>
          <w:szCs w:val="28"/>
        </w:rPr>
        <w:t>(шифр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і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назва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спеціальності)</w:t>
      </w:r>
    </w:p>
    <w:p>
      <w:pPr>
        <w:pStyle w:val="Normal"/>
        <w:tabs>
          <w:tab w:val="clear" w:pos="708"/>
          <w:tab w:val="left" w:pos="3640" w:leader="none"/>
        </w:tabs>
        <w:spacing w:lineRule="auto" w:line="240" w:before="0" w:after="0"/>
        <w:ind w:left="3628" w:right="-907" w:hanging="2835"/>
        <w:jc w:val="left"/>
        <w:rPr/>
      </w:pPr>
      <w:r>
        <w:rPr>
          <w:rFonts w:cs="Times New Roman"/>
          <w:sz w:val="28"/>
          <w:szCs w:val="28"/>
        </w:rPr>
        <w:t xml:space="preserve">спеціалізацій:                 </w:t>
      </w:r>
      <w:hyperlink r:id="rId2">
        <w:r>
          <w:rPr>
            <w:rFonts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single"/>
            <w:effect w:val="none"/>
          </w:rPr>
          <w:t>035.03 слов’янські мови та література (переклад включно)</w:t>
        </w:r>
      </w:hyperlink>
    </w:p>
    <w:p>
      <w:pPr>
        <w:pStyle w:val="Normal"/>
        <w:tabs>
          <w:tab w:val="clear" w:pos="708"/>
          <w:tab w:val="left" w:pos="3640" w:leader="none"/>
        </w:tabs>
        <w:spacing w:before="0" w:after="0"/>
        <w:ind w:left="3629" w:right="1813" w:hanging="2821"/>
        <w:jc w:val="left"/>
        <w:rPr/>
      </w:pPr>
      <w:r>
        <w:rPr>
          <w:rFonts w:cs="Times New Roman"/>
          <w:spacing w:val="-57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(назва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спеціалізації)</w:t>
      </w:r>
    </w:p>
    <w:p>
      <w:pPr>
        <w:pStyle w:val="Normal"/>
        <w:tabs>
          <w:tab w:val="clear" w:pos="708"/>
          <w:tab w:val="left" w:pos="3640" w:leader="none"/>
        </w:tabs>
        <w:spacing w:before="0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факультет</w:t>
        <w:tab/>
      </w:r>
      <w:r>
        <w:rPr>
          <w:rFonts w:cs="Times New Roman"/>
          <w:sz w:val="28"/>
          <w:szCs w:val="28"/>
          <w:u w:val="single"/>
        </w:rPr>
        <w:t>філологічний</w:t>
      </w:r>
    </w:p>
    <w:p>
      <w:pPr>
        <w:pStyle w:val="Normal"/>
        <w:spacing w:lineRule="auto" w:line="276" w:before="0" w:after="0"/>
        <w:ind w:left="3641"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(назва</w:t>
      </w:r>
      <w:r>
        <w:rPr>
          <w:rFonts w:cs="Times New Roman"/>
          <w:b w:val="false"/>
          <w:bCs w:val="false"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інституту,</w:t>
      </w:r>
      <w:r>
        <w:rPr>
          <w:rFonts w:cs="Times New Roman"/>
          <w:b w:val="false"/>
          <w:bCs w:val="false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факультету,</w:t>
      </w:r>
      <w:r>
        <w:rPr>
          <w:rFonts w:cs="Times New Roman"/>
          <w:b w:val="false"/>
          <w:bCs w:val="false"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відділення)</w:t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"Доктор Серафікус" В.Петрова-Домонтовича як "роман-провокація".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"Історія Русів" і її місце в історії української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"Хроніка" життя та смерті Марії як відображення історичної трагедії України (роман У. Самчука "Марія").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Московіада” Андруховича як постмодерний роман.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Покутська трійця”: Василь Стефаник, Лесь Мартович, Марко Черемшина.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Празька школа” української поезії.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Рубаї” та “Притчі” Д.Павличка. Від стародавніх повчань до мудрості сьогодення.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Сад божественних пісень” Григорія Сковороди.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Слово о полку Ігоревім” (історія перекладу й дослідження).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Співець Степової Еллади” (Є.Маланюк).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Філософія життя” О.Кобилянської: “Царівна”, “Земля”.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Чорна рада” П.Куліша — перший соціально-історичний роман в українській літературі.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«Празька школа» як літературна група.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«Філологізм» комедії «Мина Мазайло» Миколи Куліша.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Авторство творів українського низового бароко.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 проза І.Франка: проблема естетичного ідеалу.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Вірші Григорія Сковороди як синтез українського поетичного бароко.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Галицько-Волинський літопис: проблематика і поетика.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Група київських неокласиків: засади,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Дисидентська поезія 60-80-х рр. ХХ ст. Творчість Василя Стуса та Ігоря Калинця.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Діагностування навченості з української літератури.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Драматичні твори І.Котляревського.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60-80-х рр. ХХ ст.,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М.Куліша і театр Леся Курбаса.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Еволюція Стуса-поета. Основні мотиви та образи.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Естетична програма поетів-неокласиків.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Жанрова і родова дифузія. Поняття синтезу мистецтв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можливості роману «Місто» В.Підмогильного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Жанрово-стильова характеристика поеми І.Котляревського “Енеїда”.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Жанрово-стильові особливості вертепної драми.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Життя і творчість Дмитра Туптала.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Західноукраїнське літературне життя 1920-1930 років: загальні тенденції розвитку.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Західноукраїнські літературні угруповання 20-30-их рр. ХХ ст.: естетичні концепції і творча практика.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Збірка П.Тичини "Сонячні кларнети": "музична" філософія поета.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Д.Павличка “Сонети подільської осені” і “Таємниця твого обличчя”.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Ліни Костенко “Над берегами вічної ріки” та “Неповторність”. Проблематика і поетика.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Зображення в новелах Г. Косинки подій збройного протистояння та більшовицької колективізації в Україні.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Зразки тестування знань та умінь з української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І.Нечуй-Левицький: перші українські романи з життя інтелігенції (“Хмари”, “Над Чорним морем”).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Ідея єдності українського роду в романі "Сад Гетсиманський" Івана Багряного.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Інтегрований урок з української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Історіософська лірика Є. Маланюка.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Історія й теорія літератури як розділи літературознавства. Специфіка літературної критики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Києво-руська літературна спадщина як об’єкт московських імперських зазіхань.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Кіносценарії Олександра Довженка.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Композиція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Лірична драма І.Франка “Зів’яле листя”.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Ліро-епічні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дискусія 1925 – 1928 рр.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втілення філософських ідей у Григорія Сковороди.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Літературне життя міжвоєнного Львова.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об’єднання „Слово”, його програма,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Літературний персонаж: його різновиди і засоби характеротворення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угрупування кін. 1980-поч.90-их років (Бу-Ба-Бу, ЛуГоСад, “Пропала грамота” та ін.). Спільне та особливе.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Літературно-ідеологічні напрямки в міжвоєнній Галичині.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Літературно-мистецьке об’єднання МУР. Концепції “великої літератури” (У.Самчук), “національно-органічного стилю” (Ю.Шерех) та дискусії навколо них.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Літописна традиція княжої Руси як чинник формування української ідентичности.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 Зеров – поет, перекладач, літературний критик періоду "розстріляного відродження".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М.Хвильовий як автор памфлетів ("Думки проти течії", "Апологети писаризму").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Мала проза І.Франка: тематика і поетика.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Модерно-турбулетні експерименти раннього Івана Драча-поета.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Наратологія як розділ літературознавства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Національний колорит у кіноповісті "Зачарована Десна" Олександра Довженка.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Національно-фольклорні джерела прози О.Стороженка.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Новаторство малої прози В.Винниченка ("Краса і сила", "Кумедія з Костем", "Салдатики", "Федько-халамидник").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Новела «Я (Романтика)» Миколи Хвильового: проблематика, стильові особливості.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60-х рр. ХХ ст., її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Григора Тютюнника. Мотив скаліченого дитинства.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Нью-Йоркська школа поетів. Естетичні засади й основні представники.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Образна система в кіноповісті "Україна в огні" Олександра Довженка.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Образно-тематична палітра українського низового бароко.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 вимоги Івана Франка до викладання літератури у школі.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вивчення ліричних творів у середній школі.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Особливості неокласичної поезії М.Драй-Хмари.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прози та есеїстики Тараса Прохаська;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сучасних програм з української літератури у середній школі.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Перші 50 років кафедри української словесності у Львівському університеті.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Повість-поема Осипа Турянського «Поза межами болю»: екзистенційна тематика і проблематика і стильове вирішення.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Б.-І.Антонича.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Василя Симоненка.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і проза Юрія Андруховича. Карнавальна культура, постмодернізм.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М.Рильського 20-30-х рр. ХХ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Т.Шевченка періоду “трьох літ”.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Поетика драматичної поеми Лесі Українки (“На полі крові”, “Оргія”, “Бояриня”).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Праці Івана Франка про методику викладання української літератури.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Пригодницький характер роману "Тигролови" Івана Багряного.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“пропащої сили” в прозі Панаса Мирного (“Хіба ревуть воли, як ясла повні?”).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 розмежування бурлеску, травестії і пародії у школярській гум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Проблемність на уроках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збірок Б.-І. Антонича "Велика гармонія" та "Зелена євангелія".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поезій М. Рильського.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Програми викладання української літератури у середній школі. Програма ЗНО.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Проза Миколи Хвильового.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Ранній український модернізм, його філософські та естетичні засади. Дискусія: М.Вороний — І.Франко.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Риси індивідуального стилю М.Коцюбинського.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Різновиди літописних оповідань у «Повісті минулих літ».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Розвиток байки в українській літературі І пол. ХІХ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“Місто” В.Підмогильного.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 Винниченка “Сонячна машина”: жанрова специфіка та проблематика твору.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В.Домонтовича «Дівчина з ведмедиком»: проблематика, жанрова специфіка.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О.Гончара “Собор”. Проблематика і поетика.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Роман-виховання А.Свидницького “Люборацькі”.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Івана Багряного “Сад Гетсиманський”, “Тигролови”.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Ліни Костенко “Маруся Чурай” і “Берестечко”. Коло проблем.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Романтичні балади та історичні поеми Т.Шевченка.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Система літературних образів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Сліди естетики та поетики низового бароко в творчості літературних угрупувань останніх десятиліть XX ст. (Бубабу, Лугосад, "Пропала грамота")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Соціально-побутові повісті І.Нечуя-Левицького: своєрідність характерів, особливості гумору, комізм ситуацій.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Соціально-психологічна та історична драма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Соціально-психологічні основи прози Марка Вовчка.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Сучасний літературний Львів: імена, книги, події.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Творчість П. Тичини: провідні мотиви ранніх поетичних збірок.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останніх років життя.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періоду часів каземату та заслання.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Тематика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Тонічна система віршування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Трагедія митця в поемі Л.Костенко “Сніг у Флоренції”.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Традиції низового бароко в "Енеїді" І. Котляревського.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Українська новелістика кінця ХІХ — початку ХХ ст. Жанрові модифікації. І.Франко про психологізм малої прози.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Українське літературне бароко: хронологія, проблематика, поетика.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Українське літературне шістдесятництво: світоглядні основи та естетичні засади.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Український національний елемент у романі "Прапороносці" Олеся Гончара.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Український театр корифеїв: історія виникнення, діяльність, творчість.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Улас Самчук. “Волинь”, “Марія”.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Феномен Сергія Жадана: найяскравіший дев’ятдесятник, “чорний романтик” (за І. Дзюбою), голос українського Сходу;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Філософські поеми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Художня трансформація фольклорно-міфологічного начала в “Лісовій пісні” Лесі Українки.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Шістдесятництво як суспільно-політичний і літературний феномен.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Школи українського романтизму (харківська, київська, галицька).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Шляхи застосування методу проблемних ситуацій на уроці літератури.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25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7251d"/>
    <w:pPr>
      <w:widowControl w:val="false"/>
      <w:spacing w:before="161" w:after="0"/>
      <w:ind w:left="1534" w:hanging="697"/>
    </w:pPr>
    <w:rPr>
      <w:sz w:val="22"/>
      <w:szCs w:val="22"/>
      <w:lang w:val="uk-UA" w:eastAsia="en-US"/>
    </w:rPr>
  </w:style>
  <w:style w:type="paragraph" w:styleId="Cef1edeee2ede8e9f2e5eaf1f2" w:customStyle="1">
    <w:name w:val="Оceсf1нedоeeвe2нedиe8йe9 тf2еe5кeaсf1тf2"/>
    <w:basedOn w:val="Normal"/>
    <w:uiPriority w:val="99"/>
    <w:qFormat/>
    <w:rsid w:val="0097251d"/>
    <w:pPr>
      <w:widowControl w:val="false"/>
      <w:spacing w:lineRule="auto" w:line="276" w:before="0" w:after="140"/>
    </w:pPr>
    <w:rPr>
      <w:rFonts w:ascii="Liberation Serif" w:hAnsi="Liberation Serif" w:eastAsia="" w:eastAsiaTheme="minorEastAsia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hilology.lnu.edu.ua/academics/bachelor/curriculum-bolharska-mova-ta-literatur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624E-EFC4-4798-B03F-9644DC52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LibreOffice/7.0.2.2$Windows_X86_64 LibreOffice_project/8349ace3c3162073abd90d81fd06dcfb6b36b994</Application>
  <Pages>7</Pages>
  <Words>1088</Words>
  <Characters>7823</Characters>
  <CharactersWithSpaces>8783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2023-04-10T16:40:00Z</dcterms:created>
  <dc:creator>Христина Онішечко</dc:creator>
  <dc:description/>
  <dc:language>uk-UA</dc:language>
  <cp:lastModifiedBy/>
  <dcterms:modified xsi:type="dcterms:W3CDTF">2023-04-12T15:58:56Z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